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AFFA9" w14:textId="5AD8D139" w:rsidR="006C736A" w:rsidRPr="00E24551" w:rsidRDefault="006C736A" w:rsidP="000B1FCE">
      <w:pPr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E24551">
        <w:rPr>
          <w:rFonts w:ascii="Arial" w:hAnsi="Arial" w:cs="Arial"/>
          <w:b/>
          <w:bCs/>
          <w:sz w:val="24"/>
          <w:szCs w:val="24"/>
          <w:lang w:val="es-ES"/>
        </w:rPr>
        <w:t xml:space="preserve">Problemas de Tarea (Semana </w:t>
      </w:r>
      <w:r w:rsidR="00B57190">
        <w:rPr>
          <w:rFonts w:ascii="Arial" w:hAnsi="Arial" w:cs="Arial"/>
          <w:b/>
          <w:bCs/>
          <w:sz w:val="24"/>
          <w:szCs w:val="24"/>
          <w:lang w:val="es-ES"/>
        </w:rPr>
        <w:t>2</w:t>
      </w:r>
      <w:r w:rsidRPr="00E24551">
        <w:rPr>
          <w:rFonts w:ascii="Arial" w:hAnsi="Arial" w:cs="Arial"/>
          <w:b/>
          <w:bCs/>
          <w:sz w:val="24"/>
          <w:szCs w:val="24"/>
          <w:lang w:val="es-ES"/>
        </w:rPr>
        <w:t xml:space="preserve"> de Física Médica)</w:t>
      </w:r>
    </w:p>
    <w:p w14:paraId="768ABD5B" w14:textId="46A62322" w:rsidR="00F341D6" w:rsidRDefault="00B57190" w:rsidP="00B57190">
      <w:pPr>
        <w:jc w:val="both"/>
        <w:rPr>
          <w:rFonts w:ascii="Arial" w:hAnsi="Arial" w:cs="Arial"/>
          <w:sz w:val="24"/>
          <w:szCs w:val="24"/>
          <w:lang w:val="es-ES"/>
        </w:rPr>
      </w:pPr>
      <w:bookmarkStart w:id="0" w:name="_GoBack"/>
      <w:bookmarkEnd w:id="0"/>
      <w:r w:rsidRPr="00B57190">
        <w:rPr>
          <w:rFonts w:ascii="Arial" w:hAnsi="Arial"/>
          <w:sz w:val="24"/>
          <w:szCs w:val="24"/>
          <w:lang w:val="es-ES"/>
        </w:rPr>
        <w:t>L</w:t>
      </w:r>
      <w:r w:rsidR="00271BB3" w:rsidRPr="00B57190">
        <w:rPr>
          <w:rFonts w:ascii="Arial" w:hAnsi="Arial"/>
          <w:sz w:val="24"/>
          <w:szCs w:val="24"/>
          <w:lang w:val="es-ES"/>
        </w:rPr>
        <w:t>a</w:t>
      </w:r>
      <w:r w:rsidRPr="00B57190">
        <w:rPr>
          <w:rFonts w:ascii="Arial" w:hAnsi="Arial"/>
          <w:sz w:val="24"/>
          <w:szCs w:val="24"/>
          <w:lang w:val="es-ES"/>
        </w:rPr>
        <w:t xml:space="preserve"> línea celular </w:t>
      </w:r>
      <w:r w:rsidRPr="00B57190">
        <w:rPr>
          <w:rFonts w:ascii="Arial" w:hAnsi="Arial" w:cs="Arial"/>
          <w:sz w:val="24"/>
          <w:szCs w:val="24"/>
          <w:lang w:val="es-ES"/>
        </w:rPr>
        <w:t>U-251MG (</w:t>
      </w:r>
      <w:r>
        <w:rPr>
          <w:rFonts w:ascii="Arial" w:hAnsi="Arial" w:cs="Arial"/>
          <w:sz w:val="24"/>
          <w:szCs w:val="24"/>
          <w:lang w:val="es-ES"/>
        </w:rPr>
        <w:t xml:space="preserve">una de las líneas celulares del tumor cerebral glioblastoma multiforme) tiene asociados los parámetros del modelo lineal-cuadrático </w:t>
      </w:r>
      <m:oMath>
        <m:r>
          <w:rPr>
            <w:rFonts w:ascii="Cambria Math" w:hAnsi="Cambria Math" w:cs="Arial"/>
            <w:sz w:val="24"/>
            <w:szCs w:val="24"/>
            <w:lang w:val="es-ES"/>
          </w:rPr>
          <m:t xml:space="preserve">α=0.36 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val="es-ES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Gy</m:t>
            </m:r>
          </m:e>
          <m:sup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-1</m:t>
            </m:r>
          </m:sup>
        </m:sSup>
        <m:r>
          <w:rPr>
            <w:rFonts w:ascii="Cambria Math" w:hAnsi="Cambria Math" w:cs="Arial"/>
            <w:sz w:val="24"/>
            <w:szCs w:val="24"/>
            <w:lang w:val="es-ES"/>
          </w:rPr>
          <m:t xml:space="preserve"> </m:t>
        </m:r>
      </m:oMath>
      <w:r>
        <w:rPr>
          <w:rFonts w:ascii="Arial" w:hAnsi="Arial" w:cs="Arial"/>
          <w:sz w:val="24"/>
          <w:szCs w:val="24"/>
          <w:lang w:val="es-ES"/>
        </w:rPr>
        <w:t xml:space="preserve">y </w:t>
      </w:r>
      <m:oMath>
        <m:r>
          <w:rPr>
            <w:rFonts w:ascii="Cambria Math" w:hAnsi="Cambria Math" w:cs="Arial"/>
            <w:sz w:val="24"/>
            <w:szCs w:val="24"/>
            <w:lang w:val="es-ES"/>
          </w:rPr>
          <m:t xml:space="preserve">β=0.06 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val="es-ES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Gy</m:t>
            </m:r>
          </m:e>
          <m:sup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-2</m:t>
            </m:r>
          </m:sup>
        </m:sSup>
      </m:oMath>
      <w:r>
        <w:rPr>
          <w:rFonts w:ascii="Arial" w:hAnsi="Arial" w:cs="Arial"/>
          <w:sz w:val="24"/>
          <w:szCs w:val="24"/>
          <w:lang w:val="es-ES"/>
        </w:rPr>
        <w:t xml:space="preserve">. </w:t>
      </w:r>
      <w:r w:rsidR="005B673C">
        <w:rPr>
          <w:rFonts w:ascii="Arial" w:hAnsi="Arial" w:cs="Arial"/>
          <w:sz w:val="24"/>
          <w:szCs w:val="24"/>
          <w:lang w:val="es-ES"/>
        </w:rPr>
        <w:t xml:space="preserve">Se considera aplicar un tratamiento fraccionado con una dosis por fracción de </w:t>
      </w:r>
      <m:oMath>
        <m:r>
          <w:rPr>
            <w:rFonts w:ascii="Cambria Math" w:hAnsi="Cambria Math" w:cs="Arial"/>
            <w:sz w:val="24"/>
            <w:szCs w:val="24"/>
            <w:lang w:val="es-ES"/>
          </w:rPr>
          <m:t xml:space="preserve">d=2 Gy </m:t>
        </m:r>
      </m:oMath>
      <w:r w:rsidR="005B673C">
        <w:rPr>
          <w:rFonts w:ascii="Arial" w:hAnsi="Arial" w:cs="Arial"/>
          <w:sz w:val="24"/>
          <w:szCs w:val="24"/>
          <w:lang w:val="es-ES"/>
        </w:rPr>
        <w:t xml:space="preserve">y se quiere conocer el número total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E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n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f</m:t>
            </m:r>
          </m:sub>
        </m:sSub>
        <m:r>
          <w:rPr>
            <w:rFonts w:ascii="Cambria Math" w:hAnsi="Cambria Math" w:cs="Arial"/>
            <w:sz w:val="24"/>
            <w:szCs w:val="24"/>
            <w:lang w:val="es-ES"/>
          </w:rPr>
          <m:t xml:space="preserve"> </m:t>
        </m:r>
      </m:oMath>
      <w:r w:rsidR="005B673C">
        <w:rPr>
          <w:rFonts w:ascii="Arial" w:hAnsi="Arial" w:cs="Arial"/>
          <w:sz w:val="24"/>
          <w:szCs w:val="24"/>
          <w:lang w:val="es-ES"/>
        </w:rPr>
        <w:t xml:space="preserve">de fracciones para llegar a una probabilidad de control tumoral </w:t>
      </w:r>
      <m:oMath>
        <m:r>
          <w:rPr>
            <w:rFonts w:ascii="Cambria Math" w:hAnsi="Cambria Math" w:cs="Arial"/>
            <w:sz w:val="24"/>
            <w:szCs w:val="24"/>
            <w:lang w:val="es-ES"/>
          </w:rPr>
          <m:t>TCP=90%</m:t>
        </m:r>
      </m:oMath>
      <w:r w:rsidR="005B673C">
        <w:rPr>
          <w:rFonts w:ascii="Arial" w:hAnsi="Arial" w:cs="Arial"/>
          <w:sz w:val="24"/>
          <w:szCs w:val="24"/>
          <w:lang w:val="es-ES"/>
        </w:rPr>
        <w:t xml:space="preserve">, </w:t>
      </w:r>
      <w:r w:rsidR="007216AE">
        <w:rPr>
          <w:rFonts w:ascii="Arial" w:hAnsi="Arial" w:cs="Arial"/>
          <w:sz w:val="24"/>
          <w:szCs w:val="24"/>
          <w:lang w:val="es-ES"/>
        </w:rPr>
        <w:t>la cual corresponde a un tratamiento paliativo</w:t>
      </w:r>
      <w:r w:rsidR="004916E6">
        <w:rPr>
          <w:rFonts w:ascii="Arial" w:hAnsi="Arial" w:cs="Arial"/>
          <w:sz w:val="24"/>
          <w:szCs w:val="24"/>
          <w:lang w:val="es-ES"/>
        </w:rPr>
        <w:t xml:space="preserve"> (</w:t>
      </w:r>
      <w:r w:rsidR="007216AE">
        <w:rPr>
          <w:rFonts w:ascii="Arial" w:hAnsi="Arial" w:cs="Arial"/>
          <w:sz w:val="24"/>
          <w:szCs w:val="24"/>
          <w:lang w:val="es-ES"/>
        </w:rPr>
        <w:t>no curativo</w:t>
      </w:r>
      <w:r w:rsidR="004916E6">
        <w:rPr>
          <w:rFonts w:ascii="Arial" w:hAnsi="Arial" w:cs="Arial"/>
          <w:sz w:val="24"/>
          <w:szCs w:val="24"/>
          <w:lang w:val="es-ES"/>
        </w:rPr>
        <w:t xml:space="preserve">, </w:t>
      </w:r>
      <w:r w:rsidR="007216AE">
        <w:rPr>
          <w:rFonts w:ascii="Arial" w:hAnsi="Arial" w:cs="Arial"/>
          <w:sz w:val="24"/>
          <w:szCs w:val="24"/>
          <w:lang w:val="es-ES"/>
        </w:rPr>
        <w:t xml:space="preserve">por la agresividad del tumor la curación es muy difícil), </w:t>
      </w:r>
      <w:r w:rsidR="005B673C">
        <w:rPr>
          <w:rFonts w:ascii="Arial" w:hAnsi="Arial" w:cs="Arial"/>
          <w:sz w:val="24"/>
          <w:szCs w:val="24"/>
          <w:lang w:val="es-ES"/>
        </w:rPr>
        <w:t xml:space="preserve">así como </w:t>
      </w:r>
      <w:r w:rsidR="00F341D6">
        <w:rPr>
          <w:rFonts w:ascii="Arial" w:hAnsi="Arial" w:cs="Arial"/>
          <w:sz w:val="24"/>
          <w:szCs w:val="24"/>
          <w:lang w:val="es-ES"/>
        </w:rPr>
        <w:t xml:space="preserve">también </w:t>
      </w:r>
      <w:r w:rsidR="007216AE">
        <w:rPr>
          <w:rFonts w:ascii="Arial" w:hAnsi="Arial" w:cs="Arial"/>
          <w:sz w:val="24"/>
          <w:szCs w:val="24"/>
          <w:lang w:val="es-ES"/>
        </w:rPr>
        <w:t xml:space="preserve">conocer </w:t>
      </w:r>
      <w:r w:rsidR="005B673C">
        <w:rPr>
          <w:rFonts w:ascii="Arial" w:hAnsi="Arial" w:cs="Arial"/>
          <w:sz w:val="24"/>
          <w:szCs w:val="24"/>
          <w:lang w:val="es-ES"/>
        </w:rPr>
        <w:t>la dosis total aplicada</w:t>
      </w:r>
      <w:r w:rsidR="00F341D6">
        <w:rPr>
          <w:rFonts w:ascii="Arial" w:hAnsi="Arial" w:cs="Arial"/>
          <w:sz w:val="24"/>
          <w:szCs w:val="24"/>
          <w:lang w:val="es-ES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  <w:lang w:val="es-ES"/>
          </w:rPr>
          <m:t>D=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E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n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f</m:t>
            </m:r>
          </m:sub>
        </m:sSub>
        <m:r>
          <w:rPr>
            <w:rFonts w:ascii="Cambria Math" w:hAnsi="Cambria Math" w:cs="Arial"/>
            <w:sz w:val="24"/>
            <w:szCs w:val="24"/>
            <w:lang w:val="es-ES"/>
          </w:rPr>
          <m:t>d</m:t>
        </m:r>
      </m:oMath>
      <w:r w:rsidR="005B673C">
        <w:rPr>
          <w:rFonts w:ascii="Arial" w:hAnsi="Arial" w:cs="Arial"/>
          <w:sz w:val="24"/>
          <w:szCs w:val="24"/>
          <w:lang w:val="es-ES"/>
        </w:rPr>
        <w:t>.</w:t>
      </w:r>
      <w:r w:rsidR="00DC680C">
        <w:rPr>
          <w:rFonts w:ascii="Arial" w:hAnsi="Arial" w:cs="Arial"/>
          <w:sz w:val="24"/>
          <w:szCs w:val="24"/>
          <w:lang w:val="es-ES"/>
        </w:rPr>
        <w:t xml:space="preserve"> </w:t>
      </w:r>
      <w:r w:rsidR="007216AE">
        <w:rPr>
          <w:rFonts w:ascii="Arial" w:hAnsi="Arial" w:cs="Arial"/>
          <w:sz w:val="24"/>
          <w:szCs w:val="24"/>
          <w:lang w:val="es-ES"/>
        </w:rPr>
        <w:t>Antes de proceder</w:t>
      </w:r>
      <w:r w:rsidR="00F341D6">
        <w:rPr>
          <w:rFonts w:ascii="Arial" w:hAnsi="Arial" w:cs="Arial"/>
          <w:sz w:val="24"/>
          <w:szCs w:val="24"/>
          <w:lang w:val="es-ES"/>
        </w:rPr>
        <w:t xml:space="preserve"> se considera </w:t>
      </w:r>
      <w:r w:rsidR="00DC680C">
        <w:rPr>
          <w:rFonts w:ascii="Arial" w:hAnsi="Arial" w:cs="Arial"/>
          <w:sz w:val="24"/>
          <w:szCs w:val="24"/>
          <w:lang w:val="es-ES"/>
        </w:rPr>
        <w:t>toma</w:t>
      </w:r>
      <w:r w:rsidR="00F341D6">
        <w:rPr>
          <w:rFonts w:ascii="Arial" w:hAnsi="Arial" w:cs="Arial"/>
          <w:sz w:val="24"/>
          <w:szCs w:val="24"/>
          <w:lang w:val="es-ES"/>
        </w:rPr>
        <w:t>r</w:t>
      </w:r>
      <w:r w:rsidR="00DC680C">
        <w:rPr>
          <w:rFonts w:ascii="Arial" w:hAnsi="Arial" w:cs="Arial"/>
          <w:sz w:val="24"/>
          <w:szCs w:val="24"/>
          <w:lang w:val="es-ES"/>
        </w:rPr>
        <w:t xml:space="preserve"> </w:t>
      </w:r>
      <w:r w:rsidR="00F341D6">
        <w:rPr>
          <w:rFonts w:ascii="Arial" w:hAnsi="Arial" w:cs="Arial"/>
          <w:sz w:val="24"/>
          <w:szCs w:val="24"/>
          <w:lang w:val="es-ES"/>
        </w:rPr>
        <w:t xml:space="preserve">la </w:t>
      </w:r>
      <m:oMath>
        <m:r>
          <w:rPr>
            <w:rFonts w:ascii="Cambria Math" w:hAnsi="Cambria Math" w:cs="Arial"/>
            <w:sz w:val="24"/>
            <w:szCs w:val="24"/>
            <w:lang w:val="es-ES"/>
          </w:rPr>
          <m:t>TCP</m:t>
        </m:r>
      </m:oMath>
      <w:r w:rsidR="00DC680C">
        <w:rPr>
          <w:rFonts w:ascii="Arial" w:hAnsi="Arial" w:cs="Arial"/>
          <w:sz w:val="24"/>
          <w:szCs w:val="24"/>
          <w:lang w:val="es-ES"/>
        </w:rPr>
        <w:t xml:space="preserve"> basada en el modelo de Poisson con la extensión del modelo lineal-cuadrático</w:t>
      </w:r>
      <w:r w:rsidR="00F341D6">
        <w:rPr>
          <w:rFonts w:ascii="Arial" w:hAnsi="Arial" w:cs="Arial"/>
          <w:sz w:val="24"/>
          <w:szCs w:val="24"/>
          <w:lang w:val="es-ES"/>
        </w:rPr>
        <w:t xml:space="preserve"> con fraccionamiento dada por</w:t>
      </w:r>
    </w:p>
    <w:p w14:paraId="12E4A41F" w14:textId="62373E43" w:rsidR="00B57190" w:rsidRPr="00B57190" w:rsidRDefault="00F341D6" w:rsidP="00F341D6">
      <w:pPr>
        <w:jc w:val="center"/>
        <w:rPr>
          <w:rFonts w:ascii="Arial" w:hAnsi="Arial" w:cs="Arial"/>
          <w:sz w:val="24"/>
          <w:szCs w:val="24"/>
          <w:lang w:val="es-ES"/>
        </w:rPr>
      </w:pPr>
      <m:oMathPara>
        <m:oMath>
          <m:r>
            <w:rPr>
              <w:rFonts w:ascii="Cambria Math" w:hAnsi="Cambria Math" w:cs="Arial"/>
              <w:sz w:val="24"/>
              <w:szCs w:val="24"/>
              <w:lang w:val="es-ES"/>
            </w:rPr>
            <m:t>TCP=</m:t>
          </m:r>
          <w:bookmarkStart w:id="1" w:name="_Hlk75380002"/>
          <m:func>
            <m:funcPr>
              <m:ctrlPr>
                <w:rPr>
                  <w:rFonts w:ascii="Cambria Math" w:hAnsi="Cambria Math" w:cs="Arial"/>
                  <w:i/>
                  <w:sz w:val="24"/>
                  <w:szCs w:val="24"/>
                  <w:lang w:val="es-E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  <w:lang w:val="es-ES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s-E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s-E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  <w:lang w:val="es-E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szCs w:val="24"/>
                          <w:lang w:val="es-ES"/>
                        </w:rPr>
                        <m:t>0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  <w:lang w:val="es-E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  <w:lang w:val="es-ES"/>
                        </w:rPr>
                        <m:t>-D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  <w:lang w:val="es-E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  <w:lang w:val="es-ES"/>
                            </w:rPr>
                            <m:t>α+βd</m:t>
                          </m:r>
                        </m:e>
                      </m:d>
                    </m:sup>
                  </m:sSup>
                </m:e>
              </m:d>
            </m:e>
          </m:func>
          <w:bookmarkEnd w:id="1"/>
          <m:r>
            <w:rPr>
              <w:rFonts w:ascii="Cambria Math" w:hAnsi="Cambria Math" w:cs="Arial"/>
              <w:sz w:val="24"/>
              <w:szCs w:val="24"/>
              <w:lang w:val="es-ES"/>
            </w:rPr>
            <m:t>=</m:t>
          </m:r>
          <m:func>
            <m:funcPr>
              <m:ctrlPr>
                <w:rPr>
                  <w:rFonts w:ascii="Cambria Math" w:hAnsi="Cambria Math" w:cs="Arial"/>
                  <w:i/>
                  <w:sz w:val="24"/>
                  <w:szCs w:val="24"/>
                  <w:lang w:val="es-E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  <w:lang w:val="es-ES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s-E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s-E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  <w:lang w:val="es-E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szCs w:val="24"/>
                          <w:lang w:val="es-ES"/>
                        </w:rPr>
                        <m:t>0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  <w:lang w:val="es-E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  <w:lang w:val="es-E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  <w:lang w:val="es-E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  <w:lang w:val="es-E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  <w:lang w:val="es-ES"/>
                            </w:rPr>
                            <m:t>f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  <w:lang w:val="es-ES"/>
                        </w:rPr>
                        <m:t>d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  <w:lang w:val="es-E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  <w:lang w:val="es-ES"/>
                            </w:rPr>
                            <m:t>α+βd</m:t>
                          </m:r>
                        </m:e>
                      </m:d>
                    </m:sup>
                  </m:sSup>
                </m:e>
              </m:d>
            </m:e>
          </m:func>
        </m:oMath>
      </m:oMathPara>
    </w:p>
    <w:p w14:paraId="02A31A63" w14:textId="43111B55" w:rsidR="00B57190" w:rsidRPr="00B57190" w:rsidRDefault="00CA4A3B" w:rsidP="007216AE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donde el único parámetro desconocido es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E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N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0</m:t>
            </m:r>
          </m:sub>
        </m:sSub>
      </m:oMath>
      <w:r>
        <w:rPr>
          <w:rFonts w:ascii="Arial" w:hAnsi="Arial" w:cs="Arial"/>
          <w:sz w:val="24"/>
          <w:szCs w:val="24"/>
          <w:lang w:val="es-ES"/>
        </w:rPr>
        <w:t>, que corresponde al número de células crítico que</w:t>
      </w:r>
      <w:r w:rsidR="003509E9">
        <w:rPr>
          <w:rFonts w:ascii="Arial" w:hAnsi="Arial" w:cs="Arial"/>
          <w:sz w:val="24"/>
          <w:szCs w:val="24"/>
          <w:lang w:val="es-ES"/>
        </w:rPr>
        <w:t xml:space="preserve">, de no eliminarse, va a llevar a una recurrencia y que </w:t>
      </w:r>
      <w:r>
        <w:rPr>
          <w:rFonts w:ascii="Arial" w:hAnsi="Arial" w:cs="Arial"/>
          <w:sz w:val="24"/>
          <w:szCs w:val="24"/>
          <w:lang w:val="es-ES"/>
        </w:rPr>
        <w:t xml:space="preserve">debe estar presente en el tejido neoplásico antes de la irradiación. </w:t>
      </w:r>
      <w:r w:rsidR="00427E39">
        <w:rPr>
          <w:rFonts w:ascii="Arial" w:hAnsi="Arial" w:cs="Arial"/>
          <w:sz w:val="24"/>
          <w:szCs w:val="24"/>
          <w:lang w:val="es-ES"/>
        </w:rPr>
        <w:t xml:space="preserve">Sabiendo que en cualquier caso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E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N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0</m:t>
            </m:r>
          </m:sub>
        </m:sSub>
        <m:r>
          <w:rPr>
            <w:rFonts w:ascii="Cambria Math" w:hAnsi="Cambria Math" w:cs="Arial"/>
            <w:sz w:val="24"/>
            <w:szCs w:val="24"/>
            <w:lang w:val="es-ES"/>
          </w:rPr>
          <m:t xml:space="preserve"> </m:t>
        </m:r>
      </m:oMath>
      <w:r w:rsidR="00427E39">
        <w:rPr>
          <w:rFonts w:ascii="Arial" w:hAnsi="Arial" w:cs="Arial"/>
          <w:sz w:val="24"/>
          <w:szCs w:val="24"/>
          <w:lang w:val="es-ES"/>
        </w:rPr>
        <w:t xml:space="preserve">tiene que ser inferior al número de células que hay en el cerebro, encuentre el número de fracciones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E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n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s-ES"/>
              </w:rPr>
              <m:t>f</m:t>
            </m:r>
          </m:sub>
        </m:sSub>
        <m:r>
          <w:rPr>
            <w:rFonts w:ascii="Cambria Math" w:hAnsi="Cambria Math" w:cs="Arial"/>
            <w:sz w:val="24"/>
            <w:szCs w:val="24"/>
            <w:lang w:val="es-ES"/>
          </w:rPr>
          <m:t xml:space="preserve"> </m:t>
        </m:r>
      </m:oMath>
      <w:r w:rsidR="00427E39">
        <w:rPr>
          <w:rFonts w:ascii="Arial" w:hAnsi="Arial" w:cs="Arial"/>
          <w:sz w:val="24"/>
          <w:szCs w:val="24"/>
          <w:lang w:val="es-ES"/>
        </w:rPr>
        <w:t>a utilizar para el caso en que fuera igual</w:t>
      </w:r>
      <w:r w:rsidR="00D03A6C">
        <w:rPr>
          <w:rFonts w:ascii="Arial" w:hAnsi="Arial" w:cs="Arial"/>
          <w:sz w:val="24"/>
          <w:szCs w:val="24"/>
          <w:lang w:val="es-ES"/>
        </w:rPr>
        <w:t xml:space="preserve"> o comparable. ¿Puede aplicarse </w:t>
      </w:r>
      <w:r w:rsidR="008A6B38">
        <w:rPr>
          <w:rFonts w:ascii="Arial" w:hAnsi="Arial" w:cs="Arial"/>
          <w:sz w:val="24"/>
          <w:szCs w:val="24"/>
          <w:lang w:val="es-ES"/>
        </w:rPr>
        <w:t xml:space="preserve">como tratamiento </w:t>
      </w:r>
      <w:r w:rsidR="00D03A6C">
        <w:rPr>
          <w:rFonts w:ascii="Arial" w:hAnsi="Arial" w:cs="Arial"/>
          <w:sz w:val="24"/>
          <w:szCs w:val="24"/>
          <w:lang w:val="es-ES"/>
        </w:rPr>
        <w:t>ese número de fracciones</w:t>
      </w:r>
      <w:r w:rsidR="00DC1CCB">
        <w:rPr>
          <w:rFonts w:ascii="Arial" w:hAnsi="Arial" w:cs="Arial"/>
          <w:sz w:val="24"/>
          <w:szCs w:val="24"/>
          <w:lang w:val="es-ES"/>
        </w:rPr>
        <w:t>, el cual es una cota superior en el problema</w:t>
      </w:r>
      <w:r w:rsidR="00D03A6C">
        <w:rPr>
          <w:rFonts w:ascii="Arial" w:hAnsi="Arial" w:cs="Arial"/>
          <w:sz w:val="24"/>
          <w:szCs w:val="24"/>
          <w:lang w:val="es-ES"/>
        </w:rPr>
        <w:t>?</w:t>
      </w:r>
      <w:r w:rsidR="00952B42">
        <w:rPr>
          <w:rFonts w:ascii="Arial" w:hAnsi="Arial" w:cs="Arial"/>
          <w:sz w:val="24"/>
          <w:szCs w:val="24"/>
          <w:lang w:val="es-ES"/>
        </w:rPr>
        <w:t xml:space="preserve"> ¿Cómo compara la dosis total </w:t>
      </w:r>
      <w:r w:rsidR="004916E6">
        <w:rPr>
          <w:rFonts w:ascii="Arial" w:hAnsi="Arial" w:cs="Arial"/>
          <w:sz w:val="24"/>
          <w:szCs w:val="24"/>
          <w:lang w:val="es-ES"/>
        </w:rPr>
        <w:t xml:space="preserve">en este caso </w:t>
      </w:r>
      <w:r w:rsidR="00952B42">
        <w:rPr>
          <w:rFonts w:ascii="Arial" w:hAnsi="Arial" w:cs="Arial"/>
          <w:sz w:val="24"/>
          <w:szCs w:val="24"/>
          <w:lang w:val="es-ES"/>
        </w:rPr>
        <w:t xml:space="preserve">con las dosis totales administradas </w:t>
      </w:r>
      <w:r w:rsidR="004916E6">
        <w:rPr>
          <w:rFonts w:ascii="Arial" w:hAnsi="Arial" w:cs="Arial"/>
          <w:sz w:val="24"/>
          <w:szCs w:val="24"/>
          <w:lang w:val="es-ES"/>
        </w:rPr>
        <w:t xml:space="preserve">frecuentemente </w:t>
      </w:r>
      <w:r w:rsidR="00952B42">
        <w:rPr>
          <w:rFonts w:ascii="Arial" w:hAnsi="Arial" w:cs="Arial"/>
          <w:sz w:val="24"/>
          <w:szCs w:val="24"/>
          <w:lang w:val="es-ES"/>
        </w:rPr>
        <w:t>en cerebro?</w:t>
      </w:r>
      <w:r w:rsidR="00DB39F9">
        <w:rPr>
          <w:rFonts w:ascii="Arial" w:hAnsi="Arial" w:cs="Arial"/>
          <w:sz w:val="24"/>
          <w:szCs w:val="24"/>
          <w:lang w:val="es-ES"/>
        </w:rPr>
        <w:t xml:space="preserve"> Tome también en cuenta la dosis de tolerancia del tejido normal en cerebro.</w:t>
      </w:r>
    </w:p>
    <w:p w14:paraId="746AB7FA" w14:textId="75B76E94" w:rsidR="00B57190" w:rsidRPr="003509E9" w:rsidRDefault="00B57190" w:rsidP="00271BB3">
      <w:pPr>
        <w:jc w:val="both"/>
        <w:rPr>
          <w:rFonts w:ascii="Arial" w:hAnsi="Arial"/>
          <w:sz w:val="24"/>
          <w:szCs w:val="24"/>
          <w:lang w:val="es-ES"/>
        </w:rPr>
      </w:pPr>
    </w:p>
    <w:p w14:paraId="3236F5D8" w14:textId="77777777" w:rsidR="00B57190" w:rsidRPr="003509E9" w:rsidRDefault="00B57190" w:rsidP="00271BB3">
      <w:pPr>
        <w:jc w:val="both"/>
        <w:rPr>
          <w:rFonts w:ascii="Arial" w:hAnsi="Arial"/>
          <w:sz w:val="24"/>
          <w:szCs w:val="24"/>
          <w:lang w:val="es-ES"/>
        </w:rPr>
      </w:pPr>
    </w:p>
    <w:p w14:paraId="7A36D061" w14:textId="77777777" w:rsidR="00B57190" w:rsidRPr="003509E9" w:rsidRDefault="00B57190" w:rsidP="00271BB3">
      <w:pPr>
        <w:jc w:val="both"/>
        <w:rPr>
          <w:rFonts w:ascii="Arial" w:hAnsi="Arial"/>
          <w:sz w:val="24"/>
          <w:szCs w:val="24"/>
          <w:lang w:val="es-ES"/>
        </w:rPr>
      </w:pPr>
    </w:p>
    <w:p w14:paraId="25C90FE1" w14:textId="77777777" w:rsidR="00B57190" w:rsidRPr="003509E9" w:rsidRDefault="00B57190" w:rsidP="00271BB3">
      <w:pPr>
        <w:jc w:val="both"/>
        <w:rPr>
          <w:rFonts w:ascii="Arial" w:hAnsi="Arial"/>
          <w:sz w:val="24"/>
          <w:szCs w:val="24"/>
          <w:lang w:val="es-ES"/>
        </w:rPr>
      </w:pPr>
    </w:p>
    <w:sectPr w:rsidR="00B57190" w:rsidRPr="00350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CB7EB7" w14:textId="77777777" w:rsidR="005011A8" w:rsidRDefault="005011A8" w:rsidP="008E1765">
      <w:pPr>
        <w:spacing w:after="0" w:line="240" w:lineRule="auto"/>
      </w:pPr>
      <w:r>
        <w:separator/>
      </w:r>
    </w:p>
  </w:endnote>
  <w:endnote w:type="continuationSeparator" w:id="0">
    <w:p w14:paraId="23532361" w14:textId="77777777" w:rsidR="005011A8" w:rsidRDefault="005011A8" w:rsidP="008E1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1DA05" w14:textId="77777777" w:rsidR="005011A8" w:rsidRDefault="005011A8" w:rsidP="008E1765">
      <w:pPr>
        <w:spacing w:after="0" w:line="240" w:lineRule="auto"/>
      </w:pPr>
      <w:r>
        <w:separator/>
      </w:r>
    </w:p>
  </w:footnote>
  <w:footnote w:type="continuationSeparator" w:id="0">
    <w:p w14:paraId="0781CB1A" w14:textId="77777777" w:rsidR="005011A8" w:rsidRDefault="005011A8" w:rsidP="008E1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4B14F1"/>
    <w:multiLevelType w:val="hybridMultilevel"/>
    <w:tmpl w:val="11F8C1C0"/>
    <w:lvl w:ilvl="0" w:tplc="B498A6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36A"/>
    <w:rsid w:val="0005265D"/>
    <w:rsid w:val="00056616"/>
    <w:rsid w:val="00073C1D"/>
    <w:rsid w:val="000804F9"/>
    <w:rsid w:val="000873C4"/>
    <w:rsid w:val="000B1FCE"/>
    <w:rsid w:val="0011058D"/>
    <w:rsid w:val="0011547F"/>
    <w:rsid w:val="00132F39"/>
    <w:rsid w:val="0014020E"/>
    <w:rsid w:val="00152276"/>
    <w:rsid w:val="001549D4"/>
    <w:rsid w:val="001A3B65"/>
    <w:rsid w:val="001A4040"/>
    <w:rsid w:val="0022009E"/>
    <w:rsid w:val="00231DF1"/>
    <w:rsid w:val="002549F3"/>
    <w:rsid w:val="00262186"/>
    <w:rsid w:val="00271BB3"/>
    <w:rsid w:val="002B5552"/>
    <w:rsid w:val="002D6463"/>
    <w:rsid w:val="002F0D22"/>
    <w:rsid w:val="002F17FE"/>
    <w:rsid w:val="002F431A"/>
    <w:rsid w:val="00325BCA"/>
    <w:rsid w:val="00332FED"/>
    <w:rsid w:val="00334E96"/>
    <w:rsid w:val="00345598"/>
    <w:rsid w:val="003509E9"/>
    <w:rsid w:val="003534F6"/>
    <w:rsid w:val="003568DA"/>
    <w:rsid w:val="00373672"/>
    <w:rsid w:val="003756F4"/>
    <w:rsid w:val="003B3F98"/>
    <w:rsid w:val="003B5DED"/>
    <w:rsid w:val="003D631F"/>
    <w:rsid w:val="00427E39"/>
    <w:rsid w:val="004916E6"/>
    <w:rsid w:val="004A54C7"/>
    <w:rsid w:val="004A6ABD"/>
    <w:rsid w:val="004B4968"/>
    <w:rsid w:val="004D3134"/>
    <w:rsid w:val="004D7CF4"/>
    <w:rsid w:val="004E4431"/>
    <w:rsid w:val="004F4D8C"/>
    <w:rsid w:val="004F563D"/>
    <w:rsid w:val="005011A8"/>
    <w:rsid w:val="005057DD"/>
    <w:rsid w:val="00506D12"/>
    <w:rsid w:val="00512A86"/>
    <w:rsid w:val="005515E6"/>
    <w:rsid w:val="005B673C"/>
    <w:rsid w:val="005C6133"/>
    <w:rsid w:val="005E46AB"/>
    <w:rsid w:val="005E66EE"/>
    <w:rsid w:val="0061107B"/>
    <w:rsid w:val="0061593E"/>
    <w:rsid w:val="00642C0A"/>
    <w:rsid w:val="006935DD"/>
    <w:rsid w:val="00697B24"/>
    <w:rsid w:val="006A6036"/>
    <w:rsid w:val="006B4852"/>
    <w:rsid w:val="006C47EC"/>
    <w:rsid w:val="006C6150"/>
    <w:rsid w:val="006C736A"/>
    <w:rsid w:val="006D1CF7"/>
    <w:rsid w:val="00702D29"/>
    <w:rsid w:val="007216AE"/>
    <w:rsid w:val="00737361"/>
    <w:rsid w:val="00755D96"/>
    <w:rsid w:val="00761260"/>
    <w:rsid w:val="007652CB"/>
    <w:rsid w:val="007B139B"/>
    <w:rsid w:val="007C5273"/>
    <w:rsid w:val="007C694A"/>
    <w:rsid w:val="007D48CD"/>
    <w:rsid w:val="0080456B"/>
    <w:rsid w:val="00810656"/>
    <w:rsid w:val="008228E5"/>
    <w:rsid w:val="00833F3F"/>
    <w:rsid w:val="00834FE6"/>
    <w:rsid w:val="00872082"/>
    <w:rsid w:val="00875F40"/>
    <w:rsid w:val="00883B54"/>
    <w:rsid w:val="008A6B38"/>
    <w:rsid w:val="008C658C"/>
    <w:rsid w:val="008D0D1B"/>
    <w:rsid w:val="008E1765"/>
    <w:rsid w:val="008F258C"/>
    <w:rsid w:val="0090251B"/>
    <w:rsid w:val="00903A0F"/>
    <w:rsid w:val="00952B42"/>
    <w:rsid w:val="0099192F"/>
    <w:rsid w:val="009A5713"/>
    <w:rsid w:val="009B473F"/>
    <w:rsid w:val="009D4129"/>
    <w:rsid w:val="00A34F5E"/>
    <w:rsid w:val="00A66D94"/>
    <w:rsid w:val="00A67A52"/>
    <w:rsid w:val="00A7493D"/>
    <w:rsid w:val="00A939EB"/>
    <w:rsid w:val="00AB1D16"/>
    <w:rsid w:val="00AB6253"/>
    <w:rsid w:val="00AB6F4C"/>
    <w:rsid w:val="00AC1095"/>
    <w:rsid w:val="00AC1EFC"/>
    <w:rsid w:val="00AD6B3C"/>
    <w:rsid w:val="00B0189D"/>
    <w:rsid w:val="00B11D63"/>
    <w:rsid w:val="00B26DA5"/>
    <w:rsid w:val="00B352EC"/>
    <w:rsid w:val="00B52E43"/>
    <w:rsid w:val="00B57190"/>
    <w:rsid w:val="00B70D08"/>
    <w:rsid w:val="00B75B53"/>
    <w:rsid w:val="00B81B4F"/>
    <w:rsid w:val="00B90ED9"/>
    <w:rsid w:val="00BA18A5"/>
    <w:rsid w:val="00BB77EC"/>
    <w:rsid w:val="00C70738"/>
    <w:rsid w:val="00C73796"/>
    <w:rsid w:val="00C778B1"/>
    <w:rsid w:val="00C90BCB"/>
    <w:rsid w:val="00C9227B"/>
    <w:rsid w:val="00C92B83"/>
    <w:rsid w:val="00C97063"/>
    <w:rsid w:val="00CA4A3B"/>
    <w:rsid w:val="00CB2E82"/>
    <w:rsid w:val="00CC38C4"/>
    <w:rsid w:val="00CF3222"/>
    <w:rsid w:val="00D03A6C"/>
    <w:rsid w:val="00D147C5"/>
    <w:rsid w:val="00D17ACB"/>
    <w:rsid w:val="00D32C48"/>
    <w:rsid w:val="00D9663C"/>
    <w:rsid w:val="00DB248B"/>
    <w:rsid w:val="00DB39F9"/>
    <w:rsid w:val="00DB4856"/>
    <w:rsid w:val="00DB5035"/>
    <w:rsid w:val="00DC1CCB"/>
    <w:rsid w:val="00DC2A10"/>
    <w:rsid w:val="00DC680C"/>
    <w:rsid w:val="00DD16B6"/>
    <w:rsid w:val="00DE7550"/>
    <w:rsid w:val="00E232DE"/>
    <w:rsid w:val="00E24551"/>
    <w:rsid w:val="00E4448F"/>
    <w:rsid w:val="00E56892"/>
    <w:rsid w:val="00E81902"/>
    <w:rsid w:val="00EE6145"/>
    <w:rsid w:val="00EF08B4"/>
    <w:rsid w:val="00F05ECD"/>
    <w:rsid w:val="00F15C27"/>
    <w:rsid w:val="00F205E0"/>
    <w:rsid w:val="00F20A23"/>
    <w:rsid w:val="00F3212F"/>
    <w:rsid w:val="00F341D6"/>
    <w:rsid w:val="00F346D9"/>
    <w:rsid w:val="00F34FB4"/>
    <w:rsid w:val="00F44506"/>
    <w:rsid w:val="00F60A64"/>
    <w:rsid w:val="00F82F16"/>
    <w:rsid w:val="00FC73D9"/>
    <w:rsid w:val="00FD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9C92"/>
  <w15:chartTrackingRefBased/>
  <w15:docId w15:val="{B8F8ADD3-1CF8-476A-9836-7B4ED0B8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B1FCE"/>
    <w:rPr>
      <w:color w:val="808080"/>
    </w:rPr>
  </w:style>
  <w:style w:type="paragraph" w:styleId="Prrafodelista">
    <w:name w:val="List Paragraph"/>
    <w:basedOn w:val="Normal"/>
    <w:uiPriority w:val="34"/>
    <w:qFormat/>
    <w:rsid w:val="006C47E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D4129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D412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2D6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E17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E17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E1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D3947-BB6B-4163-A788-3C8C7219B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Martin</dc:creator>
  <cp:keywords/>
  <dc:description/>
  <cp:lastModifiedBy>Cuenta Microsoft</cp:lastModifiedBy>
  <cp:revision>2</cp:revision>
  <cp:lastPrinted>2021-06-18T14:36:00Z</cp:lastPrinted>
  <dcterms:created xsi:type="dcterms:W3CDTF">2021-06-26T03:33:00Z</dcterms:created>
  <dcterms:modified xsi:type="dcterms:W3CDTF">2021-06-26T03:33:00Z</dcterms:modified>
</cp:coreProperties>
</file>